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0" w:rsidRPr="00657DE0" w:rsidRDefault="00657DE0" w:rsidP="00657DE0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76A4"/>
          <w:kern w:val="36"/>
          <w:sz w:val="23"/>
          <w:szCs w:val="23"/>
          <w:lang w:eastAsia="ru-RU"/>
        </w:rPr>
      </w:pPr>
      <w:r w:rsidRPr="00657DE0">
        <w:rPr>
          <w:rFonts w:ascii="Verdana" w:eastAsia="Times New Roman" w:hAnsi="Verdana" w:cs="Times New Roman"/>
          <w:b/>
          <w:bCs/>
          <w:color w:val="004A80"/>
          <w:kern w:val="36"/>
          <w:sz w:val="23"/>
          <w:szCs w:val="23"/>
          <w:lang w:eastAsia="ru-RU"/>
        </w:rPr>
        <w:t>ЧАСТО ЗАДАВАЕМЫЕ ВОПРОСЫ</w:t>
      </w:r>
    </w:p>
    <w:p w:rsidR="00657DE0" w:rsidRPr="00657DE0" w:rsidRDefault="00657DE0" w:rsidP="00657DE0">
      <w:pPr>
        <w:spacing w:after="195" w:line="450" w:lineRule="atLeast"/>
        <w:outlineLvl w:val="2"/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</w:pPr>
      <w:r w:rsidRPr="00657DE0"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  <w:t>1.      ЧТО НУЖНО СДЕЛАТЬ, ЧТОБЫ ПОПАСТЬ В ДОМ-ИНТЕРНАТ ДЛЯ ПРЕСТАРЕЛЫХ И ИНВАЛИДОВ?</w:t>
      </w:r>
    </w:p>
    <w:p w:rsidR="00657DE0" w:rsidRPr="00657DE0" w:rsidRDefault="00657DE0" w:rsidP="00657DE0">
      <w:pPr>
        <w:spacing w:after="0" w:line="240" w:lineRule="auto"/>
        <w:rPr>
          <w:rFonts w:ascii="Verdana" w:eastAsia="Times New Roman" w:hAnsi="Verdana" w:cs="Times New Roman"/>
          <w:color w:val="002056"/>
          <w:sz w:val="20"/>
          <w:szCs w:val="20"/>
          <w:lang w:eastAsia="ru-RU"/>
        </w:rPr>
      </w:pPr>
      <w:r w:rsidRPr="00657DE0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Прием граждан пожилого возраста и инвалидов в дома-интернаты общего типа производится только на основании путевки, выданной Департаментом социальной политики и занятости населения Брянской области.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 xml:space="preserve">Для получения путевки необходимо обратиться в  ближайший комплексный центр социального обслуживания населения Брянской области. В </w:t>
      </w:r>
      <w:proofErr w:type="spellStart"/>
      <w:r w:rsidRPr="00657DE0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Дятьковском</w:t>
      </w:r>
      <w:proofErr w:type="spellEnd"/>
      <w:r w:rsidRPr="00657DE0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 xml:space="preserve"> районе КЦСОН находится по адресу: </w:t>
      </w:r>
      <w:proofErr w:type="spellStart"/>
      <w:r w:rsidRPr="00657DE0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г</w:t>
      </w:r>
      <w:proofErr w:type="gramStart"/>
      <w:r w:rsidRPr="00657DE0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.Д</w:t>
      </w:r>
      <w:proofErr w:type="gramEnd"/>
      <w:r w:rsidRPr="00657DE0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ятьково</w:t>
      </w:r>
      <w:proofErr w:type="spellEnd"/>
      <w:r w:rsidRPr="00657DE0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657DE0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ул.Фокина</w:t>
      </w:r>
      <w:proofErr w:type="spellEnd"/>
      <w:r w:rsidRPr="00657DE0">
        <w:rPr>
          <w:rFonts w:ascii="Verdana" w:eastAsia="Times New Roman" w:hAnsi="Verdana" w:cs="Times New Roman"/>
          <w:color w:val="140F0B"/>
          <w:sz w:val="20"/>
          <w:szCs w:val="20"/>
          <w:shd w:val="clear" w:color="auto" w:fill="FFFFFF"/>
          <w:lang w:eastAsia="ru-RU"/>
        </w:rPr>
        <w:t>, д. 66; телефон (48333)3-26-00.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657DE0" w:rsidRPr="00657DE0" w:rsidRDefault="00657DE0" w:rsidP="00657DE0">
      <w:pPr>
        <w:spacing w:after="195" w:line="450" w:lineRule="atLeast"/>
        <w:outlineLvl w:val="2"/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</w:pPr>
      <w:r w:rsidRPr="00657DE0"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  <w:t>2.      КТО ИМЕЕТ ПРАВО НА ПОЛУЧЕНИЕ СОЦИАЛЬНЫХ УСЛУГ В СТАЦИОНАРНОЙ ФОРМЕ В ДОМЕ-ИНТЕРНАТЕ ДЛЯ ПРЕСТАРЕЛЫХ И ИНВАЛИДОВ?</w:t>
      </w:r>
    </w:p>
    <w:p w:rsidR="00657DE0" w:rsidRPr="00657DE0" w:rsidRDefault="00657DE0" w:rsidP="00657DE0">
      <w:pPr>
        <w:spacing w:after="0" w:line="240" w:lineRule="auto"/>
        <w:rPr>
          <w:rFonts w:ascii="Verdana" w:eastAsia="Times New Roman" w:hAnsi="Verdana" w:cs="Times New Roman"/>
          <w:color w:val="003562"/>
          <w:sz w:val="20"/>
          <w:szCs w:val="20"/>
          <w:lang w:eastAsia="ru-RU"/>
        </w:rPr>
      </w:pP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социальное обслуживание в учреждение принимаются граждане пенсионного возраста и/или граждане старше 18 лет, имеющие инвалидность,  признанные нуждающимися в социальном обслуживании в стационарной форме, направленные в учреждение на основании путевки  Департамента социальной политики и занятости населения  Брянской области.</w:t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</w:p>
    <w:p w:rsidR="00657DE0" w:rsidRPr="00657DE0" w:rsidRDefault="00657DE0" w:rsidP="00657DE0">
      <w:pPr>
        <w:spacing w:after="195" w:line="450" w:lineRule="atLeast"/>
        <w:outlineLvl w:val="2"/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</w:pPr>
      <w:r w:rsidRPr="00657DE0"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  <w:t>3.      ЧТО НАДО ИМЕТЬ ПРИ СЕБЕ ЛЮДЯМ, ПОСТУПАЮЩИМ НА ОБСЛУЖИВАНИЕ В ДОМ-ИНТЕРНАТ?</w:t>
      </w:r>
    </w:p>
    <w:p w:rsidR="00657DE0" w:rsidRPr="00657DE0" w:rsidRDefault="00657DE0" w:rsidP="00657DE0">
      <w:pPr>
        <w:spacing w:after="0" w:line="240" w:lineRule="auto"/>
        <w:rPr>
          <w:rFonts w:ascii="Verdana" w:eastAsia="Times New Roman" w:hAnsi="Verdana" w:cs="Times New Roman"/>
          <w:color w:val="002056"/>
          <w:sz w:val="20"/>
          <w:szCs w:val="20"/>
          <w:lang w:eastAsia="ru-RU"/>
        </w:rPr>
      </w:pPr>
      <w:proofErr w:type="gramStart"/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Гражданин, поступающий на проживание в дом-интернат при себе должен иметь: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 путёвку, выданную Департаментом социальной политики и занятости населения Брянской области;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 индивидуальную программу предоставления социальных услуг, выданную комплексным центром социального обслуживания населения  по месту жительства;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 личное дело, сформированное в соответствии с законодательством;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 медицинские документы;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·         личные документы: паспорт, страховой полис, СНИЛС, справка об инвалидности и другие.</w:t>
      </w:r>
      <w:proofErr w:type="gramEnd"/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поступлении в дом-интернат с собой можно взять предметы первой необходимости и личные вещи: кружку, ложку, тарелку, средства гигиены (мыло, шампунь, мочалка); нижнее белье; тапочки;  халат или спортивный костюм;  сотовый телефон и прочее.</w:t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</w:p>
    <w:p w:rsidR="00657DE0" w:rsidRPr="00657DE0" w:rsidRDefault="00657DE0" w:rsidP="00657DE0">
      <w:pPr>
        <w:spacing w:after="195" w:line="450" w:lineRule="atLeast"/>
        <w:outlineLvl w:val="2"/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</w:pPr>
      <w:r w:rsidRPr="00657DE0"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  <w:t>4.      В КАКИХ СЛУЧАЯХ СОЦИАЛЬНЫЕ УСЛУГИ ОКАЗЫВАЮТСЯ БЕСПЛАТНО? </w:t>
      </w:r>
    </w:p>
    <w:p w:rsidR="00657DE0" w:rsidRPr="00657DE0" w:rsidRDefault="00657DE0" w:rsidP="00657DE0">
      <w:pPr>
        <w:spacing w:after="0" w:line="240" w:lineRule="auto"/>
        <w:rPr>
          <w:rFonts w:ascii="Verdana" w:eastAsia="Times New Roman" w:hAnsi="Verdana" w:cs="Times New Roman"/>
          <w:color w:val="002056"/>
          <w:sz w:val="20"/>
          <w:szCs w:val="20"/>
          <w:lang w:eastAsia="ru-RU"/>
        </w:rPr>
      </w:pPr>
      <w:proofErr w:type="gramStart"/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Стационарное социальное обслуживание предоставляется бесплатно следующим гражданам: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лицам, пострадавшим в результате чрезвычайных ситуаций, вооруженных межнациональных (межэтнических) конфликтов;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инвалидам Великой Отечественной войны;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участникам Великой Отечественной войны;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инвалидам боевых действий;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лицам, награжденным знаком "Жителю блокадного Ленинграда";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 лицам, награжденным знаком "Житель осажденного Севастополя";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7) лицам, награжденным знаком "Житель осажденного Сталинграда";</w:t>
      </w:r>
      <w:proofErr w:type="gramEnd"/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proofErr w:type="gramStart"/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государств.</w:t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proofErr w:type="gramEnd"/>
    </w:p>
    <w:p w:rsidR="00657DE0" w:rsidRPr="00657DE0" w:rsidRDefault="00657DE0" w:rsidP="00657DE0">
      <w:pPr>
        <w:spacing w:after="195" w:line="450" w:lineRule="atLeast"/>
        <w:outlineLvl w:val="2"/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</w:pPr>
      <w:r w:rsidRPr="00657DE0"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  <w:t xml:space="preserve">5.      СКОЛЬКО СТОИТ ПРОЖИВАНИЕ В </w:t>
      </w:r>
      <w:proofErr w:type="gramStart"/>
      <w:r w:rsidRPr="00657DE0"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  <w:t>ДОМЕ-ИНТЕРНАТ</w:t>
      </w:r>
      <w:proofErr w:type="gramEnd"/>
      <w:r w:rsidRPr="00657DE0"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  <w:t xml:space="preserve"> ДЛЯ ПРЕСТАРЕЛЫХ И ИНВАЛИДОВ?</w:t>
      </w:r>
    </w:p>
    <w:p w:rsidR="00657DE0" w:rsidRPr="00657DE0" w:rsidRDefault="00657DE0" w:rsidP="00657DE0">
      <w:pPr>
        <w:spacing w:after="0" w:line="240" w:lineRule="auto"/>
        <w:rPr>
          <w:rFonts w:ascii="Verdana" w:eastAsia="Times New Roman" w:hAnsi="Verdana" w:cs="Times New Roman"/>
          <w:color w:val="002056"/>
          <w:sz w:val="20"/>
          <w:szCs w:val="20"/>
          <w:lang w:eastAsia="ru-RU"/>
        </w:rPr>
      </w:pP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Размер ежемесячной платы за социальное обслуживание в стационарной форме рассчитывается по утвержденным тарифам на социальные услуги, но не может превышать 75% среднедушевого дохода получателя социальных услуг. Ежемесячная плата за первый месяц пребывания вносится на расчетный счет поставщика социальных услуг гражданином лично или его законным представителем. Далее перечисление денежных сре</w:t>
      </w:r>
      <w:proofErr w:type="gramStart"/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дств пр</w:t>
      </w:r>
      <w:proofErr w:type="gramEnd"/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оизводится органом, осуществляющим пенсионное обеспечение, по письменному заявлению получателя социальных услуг в сроки и в порядке, установленные заключенным договором.</w:t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</w:p>
    <w:p w:rsidR="00657DE0" w:rsidRPr="00657DE0" w:rsidRDefault="00657DE0" w:rsidP="00657DE0">
      <w:pPr>
        <w:spacing w:after="195" w:line="450" w:lineRule="atLeast"/>
        <w:outlineLvl w:val="2"/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</w:pPr>
      <w:r w:rsidRPr="00657DE0"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  <w:t>6.      ПРИ УВЕЛИЧЕНИИ РАЗМЕРА ПЕНСИИ  ПРОЖИВАЮЩЕГО В ДОМЕ-ИНТЕРНАТЕ, БУДЕТ ЛИ УВЕЛИЧЕНА ПЛАТА ЗА СОЦИАЛЬНОЕ ОБСЛУЖИВАНИЕ?</w:t>
      </w:r>
    </w:p>
    <w:p w:rsidR="00657DE0" w:rsidRPr="00657DE0" w:rsidRDefault="00657DE0" w:rsidP="00657DE0">
      <w:pPr>
        <w:spacing w:after="0" w:line="240" w:lineRule="auto"/>
        <w:rPr>
          <w:rFonts w:ascii="Verdana" w:eastAsia="Times New Roman" w:hAnsi="Verdana" w:cs="Times New Roman"/>
          <w:color w:val="002056"/>
          <w:sz w:val="20"/>
          <w:szCs w:val="20"/>
          <w:lang w:eastAsia="ru-RU"/>
        </w:rPr>
      </w:pP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Да, размер платы за социальное обслуживание пересматривается при изменении размеров пенсий проживающих, а также других обстоятельств, влияющих на условия предоставления услуг на платной основе.</w:t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</w:p>
    <w:p w:rsidR="00657DE0" w:rsidRPr="00657DE0" w:rsidRDefault="00657DE0" w:rsidP="00657DE0">
      <w:pPr>
        <w:spacing w:after="195" w:line="450" w:lineRule="atLeast"/>
        <w:outlineLvl w:val="2"/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</w:pPr>
      <w:r w:rsidRPr="00657DE0"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  <w:t>7.      МОЖНО ЛИ НАВЕЩАТЬ РОДСТВЕННИКОВ, НАХОДЯЩИХСЯ В ДОМЕ-ИНТЕРНАТЕ ДЛЯ ПРЕСТАРЕЛЫХ И ИНВАЛИДОВ И В КАКОЕ ВРЕМЯ?</w:t>
      </w:r>
    </w:p>
    <w:p w:rsidR="00657DE0" w:rsidRPr="00657DE0" w:rsidRDefault="00657DE0" w:rsidP="00657DE0">
      <w:pPr>
        <w:spacing w:after="0" w:line="240" w:lineRule="auto"/>
        <w:rPr>
          <w:rFonts w:ascii="Verdana" w:eastAsia="Times New Roman" w:hAnsi="Verdana" w:cs="Times New Roman"/>
          <w:color w:val="002056"/>
          <w:sz w:val="20"/>
          <w:szCs w:val="20"/>
          <w:lang w:eastAsia="ru-RU"/>
        </w:rPr>
      </w:pP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Да, можно. В целях организации посещения получателей социальных услуг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в доме-интернате установлен график посещения получателей социальных услуг, разработанный в соответствии с медицинскими рекомендациями, а также с режимом работы дома-интерната.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Администрация дома-интерната  имеет право отказать в посещении получателя социальных услуг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случае ухудшения состояния его здоровья, а также в иных случаях, предусмотренных законодательством (введение карантина, объявление чрезвычайной ситуации и другие случаи).</w:t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</w:p>
    <w:p w:rsidR="00657DE0" w:rsidRPr="00657DE0" w:rsidRDefault="00657DE0" w:rsidP="00657DE0">
      <w:pPr>
        <w:spacing w:after="195" w:line="450" w:lineRule="atLeast"/>
        <w:outlineLvl w:val="2"/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</w:pPr>
      <w:r w:rsidRPr="00657DE0"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  <w:t>8.      МОЖНО ЛИ УЙТИ ИЗ ДОМА-ИНТЕРНАТА ПО СОБСТВЕННОМУ ЖЕЛАНИЮ?</w:t>
      </w:r>
    </w:p>
    <w:p w:rsidR="00657DE0" w:rsidRPr="00657DE0" w:rsidRDefault="00657DE0" w:rsidP="00657DE0">
      <w:pPr>
        <w:spacing w:after="0" w:line="240" w:lineRule="auto"/>
        <w:rPr>
          <w:rFonts w:ascii="Verdana" w:eastAsia="Times New Roman" w:hAnsi="Verdana" w:cs="Times New Roman"/>
          <w:color w:val="002056"/>
          <w:sz w:val="20"/>
          <w:szCs w:val="20"/>
          <w:lang w:eastAsia="ru-RU"/>
        </w:rPr>
      </w:pP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Можно. Проживание получателя социальных услуг в доме-интернате для престарелых и инвалидов добровольное, поэтому гражданин вправе отказаться от получения социальных услуг в стационарной форме на основании   письменного заявления получателя социальных услуг (его законного представителя).</w:t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</w:p>
    <w:p w:rsidR="00657DE0" w:rsidRPr="00657DE0" w:rsidRDefault="00657DE0" w:rsidP="00657DE0">
      <w:pPr>
        <w:spacing w:after="195" w:line="450" w:lineRule="atLeast"/>
        <w:outlineLvl w:val="2"/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</w:pPr>
      <w:r w:rsidRPr="00657DE0"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  <w:t>9.      УСТАНАВЛИВАЕТСЯ ЛИ В УЧРЕЖДЕНИИ РЕЖИМ И ПРАВИЛА ВНУТРЕННЕГО РАСПОРЯДКА?</w:t>
      </w:r>
    </w:p>
    <w:p w:rsidR="00657DE0" w:rsidRPr="00657DE0" w:rsidRDefault="00657DE0" w:rsidP="00657DE0">
      <w:pPr>
        <w:spacing w:after="0" w:line="240" w:lineRule="auto"/>
        <w:rPr>
          <w:rFonts w:ascii="Verdana" w:eastAsia="Times New Roman" w:hAnsi="Verdana" w:cs="Times New Roman"/>
          <w:color w:val="002056"/>
          <w:sz w:val="20"/>
          <w:szCs w:val="20"/>
          <w:lang w:eastAsia="ru-RU"/>
        </w:rPr>
      </w:pP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предоставлении стационарного социального обслуживания любая организация стационарного социального обслуживания устанавливает правила внутреннего распорядка, направленные на охрану здоровья получателей социальных услуг и обеспечение их безопасности.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обязательном порядке в правила включаются ограничения и запреты, предусмотренные действующим законодательством, в том числе запрет на распитие получателями социальных услуг спиртных напитков и ограничение на курение в жилых помещениях и местах общего пользования.</w:t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</w:p>
    <w:p w:rsidR="00657DE0" w:rsidRPr="00657DE0" w:rsidRDefault="00657DE0" w:rsidP="00657DE0">
      <w:pPr>
        <w:spacing w:after="195" w:line="450" w:lineRule="atLeast"/>
        <w:outlineLvl w:val="2"/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</w:pPr>
      <w:r w:rsidRPr="00657DE0"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  <w:t>10. ЧТО ТАКОЕ ИНДИВИДУАЛЬНАЯ ПРОГРАММА ПРЕДОСТАВЛЕНИЯ СОЦИАЛЬНЫХ УСЛУГ?</w:t>
      </w:r>
    </w:p>
    <w:p w:rsidR="00657DE0" w:rsidRPr="00657DE0" w:rsidRDefault="00657DE0" w:rsidP="00657DE0">
      <w:pPr>
        <w:spacing w:after="0" w:line="240" w:lineRule="auto"/>
        <w:rPr>
          <w:rFonts w:ascii="Verdana" w:eastAsia="Times New Roman" w:hAnsi="Verdana" w:cs="Times New Roman"/>
          <w:color w:val="002056"/>
          <w:sz w:val="20"/>
          <w:szCs w:val="20"/>
          <w:lang w:eastAsia="ru-RU"/>
        </w:rPr>
      </w:pP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Индивидуальная программа предоставления социальных услуг является документом, в котором указана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 же мероприятия по социальному сопровождению.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</w:t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</w:p>
    <w:p w:rsidR="00657DE0" w:rsidRPr="00657DE0" w:rsidRDefault="00657DE0" w:rsidP="00657DE0">
      <w:pPr>
        <w:spacing w:after="195" w:line="450" w:lineRule="atLeast"/>
        <w:outlineLvl w:val="2"/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</w:pPr>
      <w:r w:rsidRPr="00657DE0">
        <w:rPr>
          <w:rFonts w:ascii="PTRootUIWebRegular" w:eastAsia="Times New Roman" w:hAnsi="PTRootUIWebRegular" w:cs="Times New Roman"/>
          <w:b/>
          <w:bCs/>
          <w:caps/>
          <w:color w:val="0076A4"/>
          <w:sz w:val="24"/>
          <w:szCs w:val="24"/>
          <w:lang w:eastAsia="ru-RU"/>
        </w:rPr>
        <w:t>11. КАКИЕ ДОКУМЕНТЫ НАДО СОБРАТЬ, ЧТОБЫ ОФОРМИТЬСЯ В ДОМ-ИНТЕРНАТ?</w:t>
      </w:r>
    </w:p>
    <w:p w:rsidR="00D64852" w:rsidRDefault="00657DE0" w:rsidP="00657DE0"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Примерный перечень документов, необходимых для рассмотрения вопроса приема граждан пожилого возраста и инвалидов в дом-интернат общего типа: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     Письменное заявление гражданина пожилого возраста и инвалида.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     Заключение клинико-экспертной комиссии психоневрологического диспансера с указанием рекомендуемого типа Учреждения.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     Справка бюро МСЭ о наличии инвалидности для мужчин до 60 лет, для женщин до 55 лет. Индивидуальная программа реабилитации – ИПР (если есть).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     Акт обследования материально-бытовых условий проживания гражданина пожилого возраста или инвалида, нуждающегося в устройстве в дом-интернат, оформленный органами социальной защиты населения (со сроком давности не более 1 месяца).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      Копия страхового медицинского полиса.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      Страховое свидетельство государственного пенсионного страхования РФ (СНИЛС).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      Копия удостоверения о праве на льготы (если есть).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      Справка о размере получаемой пенсии гражданином пожилого возраста и инвалидом и иных видов доходов.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9.      Копии свидетельства о регистрации завещаний, дарственных, договора ренты при </w:t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наличии имущества в собственности у гражданина.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Копия паспорта гражданина РФ.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Копия свидетельства о постановке на учет в налоговом органе физического лица, по месту жительства на территории РФ (ИНН).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12. Справка о составе семьи с указанием даты рождения каждого члена семьи и родственных отношений.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13. Выписка (копия) вида на жительство для лиц без гражданства.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14. Медицинская карта гражданина пожилого возраста и инвалида, содержащая заключения специалистов, со сроком давности не более 6 месяцев. Обзорная R-графия ОГК (не более 1 года), ЭКГ (не более 1 года), лабораторные анализы (не более 1 месяца), справка СЭС о контакте с инфекционными больными (не более 3 дней).</w:t>
      </w:r>
      <w:r w:rsidRPr="00657DE0"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br/>
      </w:r>
      <w:r w:rsidRPr="00657D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Актуальный перечень документов для оформления путевки в дом-интернат общего типа можно узнать при обращении в комплексный центр социального обслуживания населения (КЦСОН) Брянской области по месту жительства</w:t>
      </w:r>
      <w:bookmarkStart w:id="0" w:name="_GoBack"/>
      <w:bookmarkEnd w:id="0"/>
    </w:p>
    <w:sectPr w:rsidR="00D6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RootUI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E0"/>
    <w:rsid w:val="00657DE0"/>
    <w:rsid w:val="00D6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2024-06-13T11:09:00Z</dcterms:created>
  <dcterms:modified xsi:type="dcterms:W3CDTF">2024-06-13T11:09:00Z</dcterms:modified>
</cp:coreProperties>
</file>